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1.xml" ContentType="application/xml"/>
  <Override PartName="/customXml/itemProps4.xml" ContentType="application/vnd.openxmlformats-officedocument.customXmlProperties+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4.xml" ContentType="application/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jc w:val="end"/>
        <w:rPr>
          <w:rFonts w:ascii="Corbel" w:hAnsi="Corbel"/>
          <w:bCs/>
          <w:i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  <w:tab/>
        <w:tab/>
        <w:tab/>
        <w:tab/>
        <w:tab/>
      </w:r>
      <w:r>
        <w:rPr>
          <w:rFonts w:ascii="Corbel" w:hAnsi="Corbel"/>
          <w:bCs/>
          <w:i/>
        </w:rPr>
        <w:t>Załącznik nr 1.5 do Zarządzenia Rektora UR  nr 7/2023</w:t>
      </w:r>
    </w:p>
    <w:p>
      <w:pPr>
        <w:pStyle w:val="Normal"/>
        <w:spacing w:lineRule="auto" w:line="240" w:before="0" w:after="0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>
      <w:pPr>
        <w:pStyle w:val="Normal"/>
        <w:spacing w:lineRule="exact" w:line="240" w:before="0" w:after="0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 xml:space="preserve"> 2024-2029</w:t>
      </w:r>
    </w:p>
    <w:p>
      <w:pPr>
        <w:pStyle w:val="Normal"/>
        <w:spacing w:lineRule="exact" w:line="240"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>
      <w:pPr>
        <w:pStyle w:val="Normal"/>
        <w:spacing w:lineRule="exact" w:line="240"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  <w:tab/>
        <w:tab/>
        <w:tab/>
        <w:t>Rok akademicki  2027/2028</w:t>
      </w:r>
      <w:bookmarkStart w:id="0" w:name="_GoBack"/>
      <w:bookmarkEnd w:id="0"/>
    </w:p>
    <w:p>
      <w:pPr>
        <w:pStyle w:val="Normal"/>
        <w:spacing w:lineRule="auto" w:line="240" w:before="0" w:after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</w:r>
    </w:p>
    <w:p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jc w:val="start"/>
        <w:tblInd w:w="-34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2692"/>
        <w:gridCol w:w="7089"/>
      </w:tblGrid>
      <w:tr>
        <w:trPr/>
        <w:tc>
          <w:tcPr>
            <w:tcW w:w="26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Metodologia badań ilościowych</w:t>
            </w:r>
          </w:p>
        </w:tc>
      </w:tr>
      <w:tr>
        <w:trPr/>
        <w:tc>
          <w:tcPr>
            <w:tcW w:w="26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</w:r>
          </w:p>
        </w:tc>
      </w:tr>
      <w:tr>
        <w:trPr/>
        <w:tc>
          <w:tcPr>
            <w:tcW w:w="26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lineRule="exact" w:line="240" w:before="0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Kolegium Nauk Społecznych</w:t>
            </w:r>
          </w:p>
        </w:tc>
      </w:tr>
      <w:tr>
        <w:trPr/>
        <w:tc>
          <w:tcPr>
            <w:tcW w:w="26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Instytut Pedagogiki</w:t>
            </w:r>
          </w:p>
        </w:tc>
      </w:tr>
      <w:tr>
        <w:trPr/>
        <w:tc>
          <w:tcPr>
            <w:tcW w:w="26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Pedagogika Przedszkolna i Wczesnoszkolna</w:t>
            </w:r>
          </w:p>
        </w:tc>
      </w:tr>
      <w:tr>
        <w:trPr/>
        <w:tc>
          <w:tcPr>
            <w:tcW w:w="26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jednolite studia magisterskie</w:t>
            </w:r>
          </w:p>
        </w:tc>
      </w:tr>
      <w:tr>
        <w:trPr/>
        <w:tc>
          <w:tcPr>
            <w:tcW w:w="26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praktyczny</w:t>
            </w:r>
          </w:p>
        </w:tc>
      </w:tr>
      <w:tr>
        <w:trPr/>
        <w:tc>
          <w:tcPr>
            <w:tcW w:w="26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stacjonarne</w:t>
            </w:r>
          </w:p>
        </w:tc>
      </w:tr>
      <w:tr>
        <w:trPr/>
        <w:tc>
          <w:tcPr>
            <w:tcW w:w="26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Rok IV, sem. 7</w:t>
            </w:r>
          </w:p>
        </w:tc>
      </w:tr>
      <w:tr>
        <w:trPr/>
        <w:tc>
          <w:tcPr>
            <w:tcW w:w="26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K. Metodologia badań naukowych</w:t>
            </w:r>
          </w:p>
        </w:tc>
      </w:tr>
      <w:tr>
        <w:trPr/>
        <w:tc>
          <w:tcPr>
            <w:tcW w:w="26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polski</w:t>
            </w:r>
          </w:p>
        </w:tc>
      </w:tr>
      <w:tr>
        <w:trPr/>
        <w:tc>
          <w:tcPr>
            <w:tcW w:w="26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Dr hab. Ryszard Pęczkowski, prof. UR</w:t>
            </w:r>
          </w:p>
        </w:tc>
      </w:tr>
      <w:tr>
        <w:trPr/>
        <w:tc>
          <w:tcPr>
            <w:tcW w:w="26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ytania"/>
              <w:spacing w:beforeAutospacing="1" w:after="0"/>
              <w:jc w:val="star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Odpowiedzi"/>
              <w:spacing w:beforeAutospacing="1" w:after="0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</w:r>
          </w:p>
        </w:tc>
      </w:tr>
    </w:tbl>
    <w:p>
      <w:pPr>
        <w:pStyle w:val="Podpunkty"/>
        <w:spacing w:beforeAutospacing="1" w:afterAutospacing="1"/>
        <w:ind w:star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false"/>
          <w:i/>
          <w:sz w:val="24"/>
          <w:szCs w:val="24"/>
        </w:rPr>
        <w:t>opcjonalni</w:t>
      </w:r>
      <w:r>
        <w:rPr>
          <w:rFonts w:ascii="Corbel" w:hAnsi="Corbel"/>
          <w:b w:val="false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false"/>
          <w:i/>
          <w:sz w:val="24"/>
          <w:szCs w:val="24"/>
        </w:rPr>
        <w:t>zgodnie z ustaleniami w Jednostce</w:t>
      </w:r>
    </w:p>
    <w:p>
      <w:pPr>
        <w:pStyle w:val="Podpunkty"/>
        <w:ind w:star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</w:r>
    </w:p>
    <w:p>
      <w:pPr>
        <w:pStyle w:val="Podpunkty"/>
        <w:ind w:star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>
      <w:pPr>
        <w:pStyle w:val="Podpunkty"/>
        <w:ind w:star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</w:r>
    </w:p>
    <w:tbl>
      <w:tblPr>
        <w:tblW w:w="9747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1046"/>
        <w:gridCol w:w="921"/>
        <w:gridCol w:w="803"/>
        <w:gridCol w:w="851"/>
        <w:gridCol w:w="809"/>
        <w:gridCol w:w="829"/>
        <w:gridCol w:w="780"/>
        <w:gridCol w:w="957"/>
        <w:gridCol w:w="1206"/>
        <w:gridCol w:w="1545"/>
      </w:tblGrid>
      <w:tr>
        <w:trPr/>
        <w:tc>
          <w:tcPr>
            <w:tcW w:w="10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agwkitablic"/>
              <w:spacing w:lineRule="auto" w:line="24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agwkitablic"/>
              <w:spacing w:lineRule="auto" w:line="240" w:before="0" w:after="120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>
        <w:trPr>
          <w:trHeight w:val="453" w:hRule="atLeast"/>
        </w:trPr>
        <w:tc>
          <w:tcPr>
            <w:tcW w:w="104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8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82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7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95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12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</w:tc>
        <w:tc>
          <w:tcPr>
            <w:tcW w:w="15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>
      <w:pPr>
        <w:pStyle w:val="Podpunkty"/>
        <w:rPr>
          <w:rFonts w:ascii="Corbel" w:hAnsi="Corbel"/>
          <w:b w:val="false"/>
          <w:sz w:val="24"/>
          <w:szCs w:val="24"/>
          <w:lang w:eastAsia="en-US"/>
        </w:rPr>
      </w:pPr>
      <w:r>
        <w:rPr>
          <w:rFonts w:ascii="Corbel" w:hAnsi="Corbel"/>
          <w:b w:val="false"/>
          <w:sz w:val="24"/>
          <w:szCs w:val="24"/>
          <w:lang w:eastAsia="en-US"/>
        </w:rPr>
      </w:r>
    </w:p>
    <w:p>
      <w:pPr>
        <w:pStyle w:val="Punktygwne"/>
        <w:tabs>
          <w:tab w:val="clear" w:pos="708"/>
          <w:tab w:val="left" w:pos="709" w:leader="none"/>
        </w:tabs>
        <w:spacing w:before="0" w:after="0"/>
        <w:ind w:start="284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1.2.</w:t>
        <w:tab/>
        <w:t xml:space="preserve">Sposób realizacji zajęć  </w:t>
      </w:r>
    </w:p>
    <w:p>
      <w:pPr>
        <w:pStyle w:val="Punktygwne"/>
        <w:spacing w:before="0" w:after="0"/>
        <w:ind w:start="709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eastAsia="MS Gothic" w:cs="MS Gothic" w:hint="eastAsia" w:ascii="MS Gothic" w:hAnsi="MS Gothic"/>
          <w:b w:val="false"/>
          <w:szCs w:val="24"/>
        </w:rPr>
        <w:t>☒</w:t>
      </w:r>
      <w:r>
        <w:rPr>
          <w:rFonts w:ascii="Corbel" w:hAnsi="Corbel"/>
          <w:b w:val="false"/>
          <w:caps w:val="false"/>
          <w:smallCaps w:val="false"/>
          <w:szCs w:val="24"/>
        </w:rPr>
        <w:t xml:space="preserve"> </w:t>
      </w:r>
      <w:r>
        <w:rPr>
          <w:rFonts w:ascii="Corbel" w:hAnsi="Corbel"/>
          <w:b w:val="false"/>
          <w:caps w:val="false"/>
          <w:smallCaps w:val="false"/>
          <w:szCs w:val="24"/>
        </w:rPr>
        <w:t xml:space="preserve">zajęcia w formie tradycyjnej </w:t>
      </w:r>
    </w:p>
    <w:p>
      <w:pPr>
        <w:pStyle w:val="Punktygwne"/>
        <w:spacing w:before="0" w:after="0"/>
        <w:ind w:start="709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eastAsia="MS Gothic" w:cs="MS Gothic" w:hint="eastAsia" w:ascii="MS Gothic" w:hAnsi="MS Gothic"/>
          <w:b w:val="false"/>
          <w:szCs w:val="24"/>
        </w:rPr>
        <w:t>☐</w:t>
      </w:r>
      <w:r>
        <w:rPr>
          <w:rFonts w:ascii="Corbel" w:hAnsi="Corbel"/>
          <w:b w:val="false"/>
          <w:caps w:val="false"/>
          <w:smallCaps w:val="false"/>
          <w:szCs w:val="24"/>
        </w:rPr>
        <w:t xml:space="preserve"> </w:t>
      </w:r>
      <w:r>
        <w:rPr>
          <w:rFonts w:ascii="Corbel" w:hAnsi="Corbel"/>
          <w:b w:val="false"/>
          <w:caps w:val="false"/>
          <w:smallCaps w:val="false"/>
          <w:szCs w:val="24"/>
        </w:rPr>
        <w:t>zajęcia realizowane z wykorzystaniem metod i technik kształcenia na odległość</w:t>
      </w:r>
    </w:p>
    <w:p>
      <w:pPr>
        <w:pStyle w:val="Punktygwne"/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p>
      <w:pPr>
        <w:pStyle w:val="Punktygwne"/>
        <w:tabs>
          <w:tab w:val="clear" w:pos="708"/>
          <w:tab w:val="left" w:pos="709" w:leader="none"/>
        </w:tabs>
        <w:spacing w:before="0" w:after="0"/>
        <w:ind w:hanging="425" w:start="709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 xml:space="preserve">1.3 </w:t>
        <w:tab/>
        <w:t xml:space="preserve">Forma zaliczenia przedmiotu  (z toku) </w:t>
      </w:r>
      <w:r>
        <w:rPr>
          <w:rFonts w:ascii="Corbel" w:hAnsi="Corbel"/>
          <w:b w:val="false"/>
          <w:caps w:val="false"/>
          <w:smallCaps w:val="false"/>
          <w:szCs w:val="24"/>
        </w:rPr>
        <w:t>- egzamin</w:t>
      </w:r>
    </w:p>
    <w:p>
      <w:pPr>
        <w:pStyle w:val="Punktygwne"/>
        <w:spacing w:before="0" w:after="0"/>
        <w:rPr>
          <w:rFonts w:ascii="Corbel" w:hAnsi="Corbel"/>
          <w:b w:val="false"/>
          <w:szCs w:val="24"/>
        </w:rPr>
      </w:pPr>
      <w:r>
        <w:rPr>
          <w:rFonts w:ascii="Corbel" w:hAnsi="Corbel"/>
          <w:b w:val="false"/>
          <w:szCs w:val="24"/>
        </w:rPr>
      </w:r>
    </w:p>
    <w:p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jc w:val="start"/>
        <w:tblInd w:w="109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9670"/>
      </w:tblGrid>
      <w:tr>
        <w:trPr/>
        <w:tc>
          <w:tcPr>
            <w:tcW w:w="96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40" w:after="40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Podstawowa wiedza z zakresu pedagogiki i jej subdyscyplin naukowych.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</w:r>
    </w:p>
    <w:p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</w:r>
    </w:p>
    <w:p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>
      <w:pPr>
        <w:pStyle w:val="Podpunkty"/>
        <w:rPr>
          <w:rFonts w:ascii="Corbel" w:hAnsi="Corbel"/>
          <w:b w:val="false"/>
          <w:i/>
          <w:i/>
          <w:sz w:val="24"/>
          <w:szCs w:val="24"/>
        </w:rPr>
      </w:pPr>
      <w:r>
        <w:rPr>
          <w:rFonts w:ascii="Corbel" w:hAnsi="Corbel"/>
          <w:b w:val="false"/>
          <w:i/>
          <w:sz w:val="24"/>
          <w:szCs w:val="24"/>
        </w:rPr>
      </w:r>
    </w:p>
    <w:tbl>
      <w:tblPr>
        <w:tblW w:w="9520" w:type="dxa"/>
        <w:jc w:val="start"/>
        <w:tblInd w:w="109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843"/>
        <w:gridCol w:w="8677"/>
      </w:tblGrid>
      <w:tr>
        <w:trPr/>
        <w:tc>
          <w:tcPr>
            <w:tcW w:w="8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start="0"/>
              <w:jc w:val="start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C1</w:t>
            </w:r>
          </w:p>
        </w:tc>
        <w:tc>
          <w:tcPr>
            <w:tcW w:w="86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start="0"/>
              <w:jc w:val="start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Wyposażenie studentów w podstawową wiedzę dotyczącą metodologii badań ilościowych, ze szczególnym uwzględnieniem struktury badań oraz podstawowych metod i technik realizacji.</w:t>
            </w:r>
          </w:p>
        </w:tc>
      </w:tr>
      <w:tr>
        <w:trPr/>
        <w:tc>
          <w:tcPr>
            <w:tcW w:w="8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start="0"/>
              <w:jc w:val="start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C2</w:t>
            </w:r>
          </w:p>
        </w:tc>
        <w:tc>
          <w:tcPr>
            <w:tcW w:w="86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start="0"/>
              <w:jc w:val="start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Kształtowanie umiejętności przygotowania i realizacji badań ilościowych.</w:t>
            </w:r>
          </w:p>
        </w:tc>
      </w:tr>
      <w:tr>
        <w:trPr/>
        <w:tc>
          <w:tcPr>
            <w:tcW w:w="8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start="0"/>
              <w:jc w:val="start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C3</w:t>
            </w:r>
          </w:p>
        </w:tc>
        <w:tc>
          <w:tcPr>
            <w:tcW w:w="86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odpunkty"/>
              <w:spacing w:before="40" w:after="40"/>
              <w:ind w:start="0"/>
              <w:jc w:val="start"/>
              <w:rPr>
                <w:rFonts w:ascii="Corbel" w:hAnsi="Corbel"/>
                <w:b w:val="false"/>
                <w:sz w:val="24"/>
                <w:szCs w:val="24"/>
              </w:rPr>
            </w:pPr>
            <w:r>
              <w:rPr>
                <w:rFonts w:ascii="Corbel" w:hAnsi="Corbel"/>
                <w:b w:val="false"/>
                <w:sz w:val="24"/>
                <w:szCs w:val="24"/>
              </w:rPr>
              <w:t>Rozwijanie krytycznej postawy w prowadzeniu badań ze szczególnym uwzględnieniem wymiaru etycznego prowadzenia badań ilościowych.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color w:val="000000"/>
          <w:szCs w:val="24"/>
        </w:rPr>
      </w:pPr>
      <w:r>
        <w:rPr>
          <w:rFonts w:ascii="Corbel" w:hAnsi="Corbel"/>
          <w:b w:val="false"/>
          <w:caps w:val="false"/>
          <w:smallCaps w:val="false"/>
          <w:color w:val="000000"/>
          <w:szCs w:val="24"/>
        </w:rPr>
      </w:r>
    </w:p>
    <w:p>
      <w:pPr>
        <w:pStyle w:val="Normal"/>
        <w:spacing w:lineRule="auto" w:line="240" w:before="0" w:after="0"/>
        <w:ind w:star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</w:r>
    </w:p>
    <w:tbl>
      <w:tblPr>
        <w:tblW w:w="9670" w:type="dxa"/>
        <w:jc w:val="start"/>
        <w:tblInd w:w="109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1699"/>
        <w:gridCol w:w="6096"/>
        <w:gridCol w:w="1875"/>
      </w:tblGrid>
      <w:tr>
        <w:trPr/>
        <w:tc>
          <w:tcPr>
            <w:tcW w:w="16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caps w:val="false"/>
                <w:smallCaps w:val="false"/>
                <w:szCs w:val="24"/>
              </w:rPr>
              <w:t>EK</w:t>
            </w: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Treść efektu uczenia się zdefiniowanego dla przedmiotu</w:t>
            </w:r>
          </w:p>
        </w:tc>
        <w:tc>
          <w:tcPr>
            <w:tcW w:w="18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Odniesienie do efektów  kierunkowych </w:t>
            </w:r>
            <w:r>
              <w:rPr>
                <w:rStyle w:val="FootnoteReference"/>
                <w:rFonts w:ascii="Corbel" w:hAnsi="Corbel"/>
                <w:b w:val="false"/>
                <w:caps w:val="false"/>
                <w:smallCaps w:val="false"/>
                <w:szCs w:val="24"/>
              </w:rPr>
              <w:footnoteReference w:id="2"/>
            </w:r>
          </w:p>
        </w:tc>
      </w:tr>
      <w:tr>
        <w:trPr/>
        <w:tc>
          <w:tcPr>
            <w:tcW w:w="16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</w:t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  <w:u w:val="single"/>
              </w:rPr>
            </w:pPr>
            <w:r>
              <w:rPr>
                <w:rFonts w:ascii="Corbel" w:hAnsi="Corbel"/>
                <w:color w:val="00000A"/>
                <w:u w:val="single"/>
              </w:rPr>
              <w:t>W zakresie wiedzy student  zna i rozumie: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K.W1. filozoficzne, metodologiczne i kulturowe podstawy badań społecznych i edukacyjnych, koncepcje wiedzy, pojęcie nauki i status wiedzy naukowej, społeczno-kulturowe uwarunkowania badań naukowych, nurty filozoficzne, paradygmaty badawcze i strategie badań naukowych, a także znaczenie i sposoby budowania teorii w badaniach naukowych;</w:t>
            </w:r>
          </w:p>
        </w:tc>
        <w:tc>
          <w:tcPr>
            <w:tcW w:w="18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160"/>
              <w:jc w:val="center"/>
              <w:rPr/>
            </w:pPr>
            <w:r>
              <w:rPr>
                <w:rFonts w:ascii="Corbel" w:hAnsi="Corbel"/>
                <w:szCs w:val="20"/>
              </w:rPr>
              <w:t>PPiW.W20</w:t>
            </w:r>
          </w:p>
        </w:tc>
      </w:tr>
      <w:tr>
        <w:trPr/>
        <w:tc>
          <w:tcPr>
            <w:tcW w:w="16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 xml:space="preserve">K.W2. strukturę procesu badawczego w kontekście strategii badań ilościowych; pojęcie projektu badawczego, etapy badań naukowych w podejściu ilościowym, kryteria wyboru strategii ilościowej, cele badań ilościowych ,problemy i hipotezy badawcze, zmienne i związki między zmiennymi, konceptualizację, operacjonalizację zmiennych, zasady tworzenia ram pojęciowych badania naukowego, strategie i techniki doboru próby badawczej, definiowanie przypadku badawczego, specyfikę badań w pedagogice przedszkolnej i wczesnoszkolnej, rodzaje i typy badań (opisowe, diagnostyczne, wyjaśniające, weryfikacyjne, projektujące, porównawcze, eksperymentalne i </w:t>
            </w:r>
            <w:r>
              <w:rPr>
                <w:rFonts w:ascii="Corbel" w:hAnsi="Corbel"/>
                <w:i/>
                <w:color w:val="00000A"/>
              </w:rPr>
              <w:t>quasi</w:t>
            </w:r>
            <w:r>
              <w:rPr>
                <w:rFonts w:ascii="Corbel" w:hAnsi="Corbel"/>
                <w:color w:val="00000A"/>
              </w:rPr>
              <w:t>- -eksperymentalne, sondażowe – metody indeksacji, pomiaru i rodzaje skal pomiarowych, oraz badania: ewaluacyjne, panelowe, socjometryczne, porównawcze, terenowe; metody gromadzenia i analizy danych); narzędzia badawcze – konstruowanie kwestionariuszy, skal pomiarowych i testów pedagogicznych, arkuszy obserwacji, narzędzi socjometrycznych;</w:t>
            </w:r>
          </w:p>
        </w:tc>
        <w:tc>
          <w:tcPr>
            <w:tcW w:w="18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/>
              <w:jc w:val="center"/>
              <w:rPr/>
            </w:pPr>
            <w:r>
              <w:rPr>
                <w:rFonts w:ascii="Corbel" w:hAnsi="Corbel"/>
                <w:szCs w:val="20"/>
              </w:rPr>
              <w:t>PPiW.W19</w:t>
            </w:r>
          </w:p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16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6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K.W4. zasady opracowywania wyników i raportu z badań naukowych; sposoby prezentacji wyników badań, zasady przygotowania i opracowania różnych rodzajów tekstów naukowych; warsztat pisarski, style i gatunki, język i sposób narracji;</w:t>
            </w:r>
          </w:p>
        </w:tc>
        <w:tc>
          <w:tcPr>
            <w:tcW w:w="18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0"/>
              <w:jc w:val="center"/>
              <w:rPr/>
            </w:pPr>
            <w:r>
              <w:rPr>
                <w:rFonts w:ascii="Corbel" w:hAnsi="Corbel"/>
                <w:szCs w:val="20"/>
              </w:rPr>
              <w:t>PPiW.W20</w:t>
            </w:r>
          </w:p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0"/>
              <w:jc w:val="center"/>
              <w:rPr>
                <w:rFonts w:ascii="Corbel" w:hAnsi="Corbel"/>
                <w:szCs w:val="20"/>
                <w:shd w:fill="FFFFFF" w:val="clear"/>
              </w:rPr>
            </w:pPr>
            <w:r>
              <w:rPr>
                <w:rFonts w:ascii="Corbel" w:hAnsi="Corbel"/>
                <w:szCs w:val="20"/>
                <w:shd w:fill="FFFFFF" w:val="clear"/>
              </w:rPr>
            </w:r>
          </w:p>
        </w:tc>
      </w:tr>
      <w:tr>
        <w:trPr/>
        <w:tc>
          <w:tcPr>
            <w:tcW w:w="16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K.W5. rolę jakości i rzetelności badań naukowych, różne kryteria jakości badań naukowych, w tym reprezentatywność, trafność, rzetelność, wiarygodność, transparentność, autentyczność, triangulację perspektyw teoretycznych, metod badawczych i źródła danych oraz możliwości uogólnienia i transferu rezultatów badawczych;</w:t>
            </w:r>
          </w:p>
        </w:tc>
        <w:tc>
          <w:tcPr>
            <w:tcW w:w="18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160"/>
              <w:jc w:val="center"/>
              <w:rPr/>
            </w:pPr>
            <w:r>
              <w:rPr>
                <w:rFonts w:ascii="Corbel" w:hAnsi="Corbel"/>
                <w:szCs w:val="20"/>
              </w:rPr>
              <w:t>PPiW.W20</w:t>
            </w:r>
          </w:p>
        </w:tc>
      </w:tr>
      <w:tr>
        <w:trPr/>
        <w:tc>
          <w:tcPr>
            <w:tcW w:w="16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K.W6. sposoby wykorzystania wyników badań naukowych w praktyce społecznej i pedagogicznej, cele badawcze i typy badań w kontekście możliwości ich praktycznego zastosowania, sposoby praktycznego wykorzystania badań naukowych (analizę i diagnozę sytuacji, analizę problemów społecznych i pedagogicznych, określanie potrzeb i planowanie działań interwencyjnych, ewaluację osiągnięć);</w:t>
            </w:r>
          </w:p>
        </w:tc>
        <w:tc>
          <w:tcPr>
            <w:tcW w:w="18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160"/>
              <w:jc w:val="center"/>
              <w:rPr/>
            </w:pPr>
            <w:r>
              <w:rPr>
                <w:rFonts w:ascii="Corbel" w:hAnsi="Corbel"/>
                <w:szCs w:val="20"/>
              </w:rPr>
              <w:t>PPiW.W19</w:t>
            </w:r>
          </w:p>
        </w:tc>
      </w:tr>
      <w:tr>
        <w:trPr/>
        <w:tc>
          <w:tcPr>
            <w:tcW w:w="169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K.W7. etyczne aspekty prowadzenia i wykorzystywania badań ilościowych w dziedzinie nauk społecznych, podstawowe zasady przeprowadzania tych badań, dylematy i wybory etyczne na różnych etapach procesu badawczego, zaangażowanie uczestników badań, społeczno-polityczny kontekst badań, sposoby prezentacji wyników badań w przestrzeni publicznej; pojęcie plagiatu w pracy badawczej;</w:t>
            </w:r>
          </w:p>
        </w:tc>
        <w:tc>
          <w:tcPr>
            <w:tcW w:w="18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160"/>
              <w:jc w:val="center"/>
              <w:rPr/>
            </w:pPr>
            <w:r>
              <w:rPr>
                <w:rFonts w:ascii="Corbel" w:hAnsi="Corbel"/>
                <w:szCs w:val="20"/>
              </w:rPr>
              <w:t>PPiW.W20</w:t>
            </w:r>
          </w:p>
        </w:tc>
      </w:tr>
      <w:tr>
        <w:trPr/>
        <w:tc>
          <w:tcPr>
            <w:tcW w:w="16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EK_07</w:t>
            </w:r>
          </w:p>
        </w:tc>
        <w:tc>
          <w:tcPr>
            <w:tcW w:w="609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K.W8. cechy, styl i redagowanie tekstów naukowych, cel i strukturę pracy dyplomowej, wybór pola badawczego w kontekście wiedzy osobistej i naukowej, technikę pracy naukowej, dobór i selekcję literatury, formy analizy materiałów źródłowych, formy prezentacji wyników badań i doniesień naukowych z literatury, ocenę i krytykę dostępnych źródeł teoretycznych, znaczenie umiejętności wywodu i siły argumentacji, a także problemy etyczne w pisaniu pracy dyplomowej;</w:t>
            </w:r>
          </w:p>
        </w:tc>
        <w:tc>
          <w:tcPr>
            <w:tcW w:w="187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16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PPiW.W19</w:t>
            </w:r>
          </w:p>
        </w:tc>
      </w:tr>
      <w:tr>
        <w:trPr/>
        <w:tc>
          <w:tcPr>
            <w:tcW w:w="16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EK_08</w:t>
            </w:r>
          </w:p>
        </w:tc>
        <w:tc>
          <w:tcPr>
            <w:tcW w:w="609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K.W9. metodologię prowadzenia badań naukowych oraz zasady zastosowania wiedzy i umiejętności metodologicznych we własnym projekcie badawczym, w tym wyboru strategii badawczej, sformułowania celu i przedmiotu badań, opracowania metod i techniki badań, sformułowania problematyki badań, przygotowania narzędzi badawczych, doboru próby badawczej, terenu i przebiegu badań, prowadzenia badań empirycznych, a także sposoby analizy wyników badań oraz prezentacji wyników badań oraz proces wnioskowania</w:t>
            </w:r>
          </w:p>
        </w:tc>
        <w:tc>
          <w:tcPr>
            <w:tcW w:w="187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16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PPiW.W20</w:t>
            </w:r>
          </w:p>
        </w:tc>
      </w:tr>
      <w:tr>
        <w:trPr/>
        <w:tc>
          <w:tcPr>
            <w:tcW w:w="16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EK_09</w:t>
            </w:r>
          </w:p>
        </w:tc>
        <w:tc>
          <w:tcPr>
            <w:tcW w:w="609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  <w:u w:val="single"/>
              </w:rPr>
            </w:pPr>
            <w:r>
              <w:rPr>
                <w:rFonts w:ascii="Corbel" w:hAnsi="Corbel"/>
                <w:color w:val="00000A"/>
                <w:u w:val="single"/>
              </w:rPr>
              <w:t>W zakresie umiejętności student  potrafi: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K.U1. zaprojektować proces badań ilościowych oraz umiejętnie dobrać narzędzia badawcze;</w:t>
            </w:r>
          </w:p>
        </w:tc>
        <w:tc>
          <w:tcPr>
            <w:tcW w:w="187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>
        <w:trPr/>
        <w:tc>
          <w:tcPr>
            <w:tcW w:w="16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EK_10</w:t>
            </w:r>
          </w:p>
        </w:tc>
        <w:tc>
          <w:tcPr>
            <w:tcW w:w="609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K.U2. zebrać dane adekwatne do postawionego problemu badawczego</w:t>
            </w:r>
          </w:p>
        </w:tc>
        <w:tc>
          <w:tcPr>
            <w:tcW w:w="187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>
        <w:trPr/>
        <w:tc>
          <w:tcPr>
            <w:tcW w:w="16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EK_11</w:t>
            </w:r>
          </w:p>
        </w:tc>
        <w:tc>
          <w:tcPr>
            <w:tcW w:w="609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K.U3. poprawnie przeprowadzić analizę danych;</w:t>
            </w:r>
          </w:p>
        </w:tc>
        <w:tc>
          <w:tcPr>
            <w:tcW w:w="187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>
        <w:trPr/>
        <w:tc>
          <w:tcPr>
            <w:tcW w:w="16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</w:rPr>
            </w:pPr>
            <w:r>
              <w:rPr>
                <w:rFonts w:ascii="Corbel" w:hAnsi="Corbel"/>
                <w:b w:val="false"/>
              </w:rPr>
              <w:t>EK_12</w:t>
            </w:r>
          </w:p>
        </w:tc>
        <w:tc>
          <w:tcPr>
            <w:tcW w:w="609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K.U4. opracować raport z wyników badań;</w:t>
            </w:r>
          </w:p>
        </w:tc>
        <w:tc>
          <w:tcPr>
            <w:tcW w:w="187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>
        <w:trPr/>
        <w:tc>
          <w:tcPr>
            <w:tcW w:w="16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</w:rPr>
            </w:pPr>
            <w:r>
              <w:rPr>
                <w:rFonts w:ascii="Corbel" w:hAnsi="Corbel"/>
                <w:b w:val="false"/>
              </w:rPr>
              <w:t>EK_13</w:t>
            </w:r>
          </w:p>
        </w:tc>
        <w:tc>
          <w:tcPr>
            <w:tcW w:w="609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K.U5. krytycznie przeanalizować raport z wyników badań;</w:t>
            </w:r>
          </w:p>
        </w:tc>
        <w:tc>
          <w:tcPr>
            <w:tcW w:w="187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>
        <w:trPr/>
        <w:tc>
          <w:tcPr>
            <w:tcW w:w="16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EK_14</w:t>
            </w:r>
          </w:p>
        </w:tc>
        <w:tc>
          <w:tcPr>
            <w:tcW w:w="609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K.U6. dobrać literaturę i materiały źródłowe adekwatne do problemu pracy dyplomowej;</w:t>
            </w:r>
          </w:p>
        </w:tc>
        <w:tc>
          <w:tcPr>
            <w:tcW w:w="187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16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</w:tc>
      </w:tr>
      <w:tr>
        <w:trPr/>
        <w:tc>
          <w:tcPr>
            <w:tcW w:w="16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EK_15</w:t>
            </w:r>
          </w:p>
        </w:tc>
        <w:tc>
          <w:tcPr>
            <w:tcW w:w="609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K.U7. dobrać formę prezentacji zebranych danych oraz argumentację adekwatną do zaprezentowania problemu pracy dyplomowej.</w:t>
            </w:r>
          </w:p>
        </w:tc>
        <w:tc>
          <w:tcPr>
            <w:tcW w:w="187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16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>
        <w:trPr/>
        <w:tc>
          <w:tcPr>
            <w:tcW w:w="16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EK_16</w:t>
            </w:r>
          </w:p>
        </w:tc>
        <w:tc>
          <w:tcPr>
            <w:tcW w:w="609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  <w:u w:val="single"/>
              </w:rPr>
            </w:pPr>
            <w:r>
              <w:rPr>
                <w:rFonts w:ascii="Corbel" w:hAnsi="Corbel"/>
                <w:color w:val="00000A"/>
                <w:u w:val="single"/>
              </w:rPr>
              <w:t>W zakresie kompetencji społecznych student jest gotów do: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K.K2. przestrzegania zasad rzetelności intelektualnej i reguł własności intelektualnej;</w:t>
            </w:r>
          </w:p>
        </w:tc>
        <w:tc>
          <w:tcPr>
            <w:tcW w:w="187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16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PPiW.K04</w:t>
            </w:r>
          </w:p>
        </w:tc>
      </w:tr>
      <w:tr>
        <w:trPr/>
        <w:tc>
          <w:tcPr>
            <w:tcW w:w="169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EK_17</w:t>
            </w:r>
          </w:p>
        </w:tc>
        <w:tc>
          <w:tcPr>
            <w:tcW w:w="609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K.K3  rzetelnego sprawozdania wyników badań zawartych w pracy dyplomowej.</w:t>
            </w:r>
          </w:p>
        </w:tc>
        <w:tc>
          <w:tcPr>
            <w:tcW w:w="187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969" w:leader="dot"/>
              </w:tabs>
              <w:spacing w:lineRule="auto" w:line="240" w:before="0" w:after="160"/>
              <w:jc w:val="center"/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PPiW.K04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szCs w:val="24"/>
        </w:rPr>
      </w:pPr>
      <w:r>
        <w:rPr>
          <w:rFonts w:ascii="Corbel" w:hAnsi="Corbel"/>
          <w:b w:val="false"/>
          <w:szCs w:val="24"/>
        </w:rPr>
      </w:r>
    </w:p>
    <w:p>
      <w:pPr>
        <w:pStyle w:val="ListParagraph"/>
        <w:spacing w:lineRule="auto" w:line="240"/>
        <w:ind w:star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>
      <w:pPr>
        <w:pStyle w:val="ListParagraph"/>
        <w:numPr>
          <w:ilvl w:val="0"/>
          <w:numId w:val="1"/>
        </w:numPr>
        <w:spacing w:lineRule="auto" w:line="240" w:before="0" w:after="120"/>
        <w:contextualSpacing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>
      <w:pPr>
        <w:pStyle w:val="ListParagraph"/>
        <w:numPr>
          <w:ilvl w:val="0"/>
          <w:numId w:val="0"/>
        </w:numPr>
        <w:spacing w:lineRule="auto" w:line="240" w:before="0" w:after="120"/>
        <w:ind w:hanging="0" w:start="1080"/>
        <w:contextualSpacing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</w:r>
    </w:p>
    <w:p>
      <w:pPr>
        <w:pStyle w:val="ListParagraph"/>
        <w:spacing w:lineRule="auto" w:line="240" w:before="0" w:after="120"/>
        <w:ind w:start="1080"/>
        <w:contextualSpacing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</w:r>
    </w:p>
    <w:tbl>
      <w:tblPr>
        <w:tblW w:w="9639" w:type="dxa"/>
        <w:jc w:val="start"/>
        <w:tblInd w:w="109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9639"/>
      </w:tblGrid>
      <w:tr>
        <w:trPr/>
        <w:tc>
          <w:tcPr>
            <w:tcW w:w="96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firstLine="250" w:start="-25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>
        <w:trPr>
          <w:trHeight w:val="216" w:hRule="atLeast"/>
        </w:trPr>
        <w:tc>
          <w:tcPr>
            <w:tcW w:w="96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numPr>
                <w:ilvl w:val="0"/>
                <w:numId w:val="5"/>
              </w:numPr>
              <w:spacing w:lineRule="auto" w:line="240" w:before="0" w:after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Podstawowe założenia badań społecznych i edukacyjnych - paradygmaty badawcze i strategie badań naukowych. Specyfika badań w pedagogice przedszkolnej i wczesnoszkolnej.</w:t>
            </w:r>
          </w:p>
        </w:tc>
      </w:tr>
      <w:tr>
        <w:trPr/>
        <w:tc>
          <w:tcPr>
            <w:tcW w:w="96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numPr>
                <w:ilvl w:val="0"/>
                <w:numId w:val="5"/>
              </w:numPr>
              <w:spacing w:lineRule="auto" w:line="240" w:before="0" w:after="0"/>
              <w:contextualSpacing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Badania ilościowe – charakterystyka.</w:t>
            </w:r>
          </w:p>
        </w:tc>
      </w:tr>
      <w:tr>
        <w:trPr/>
        <w:tc>
          <w:tcPr>
            <w:tcW w:w="96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numPr>
                <w:ilvl w:val="0"/>
                <w:numId w:val="5"/>
              </w:numPr>
              <w:spacing w:lineRule="auto" w:line="240" w:before="0" w:after="0"/>
              <w:contextualSpacing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Struktura badań ilościowych - zasady projektowania.</w:t>
            </w:r>
          </w:p>
        </w:tc>
      </w:tr>
      <w:tr>
        <w:trPr/>
        <w:tc>
          <w:tcPr>
            <w:tcW w:w="96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numPr>
                <w:ilvl w:val="0"/>
                <w:numId w:val="5"/>
              </w:numPr>
              <w:spacing w:lineRule="auto" w:line="240" w:before="0" w:after="0"/>
              <w:contextualSpacing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Metody i techniki prowadzenia badań ilościowych – ogólna charakterystyka.</w:t>
            </w:r>
          </w:p>
        </w:tc>
      </w:tr>
      <w:tr>
        <w:trPr/>
        <w:tc>
          <w:tcPr>
            <w:tcW w:w="96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numPr>
                <w:ilvl w:val="0"/>
                <w:numId w:val="5"/>
              </w:numPr>
              <w:spacing w:lineRule="auto" w:line="240" w:before="0" w:after="0"/>
              <w:contextualSpacing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Zasady opracowywania wyników i raportu z badań naukowych. Analiza i synteza jako podstawowe operacje w badaniach ilościowych.</w:t>
            </w:r>
          </w:p>
        </w:tc>
      </w:tr>
      <w:tr>
        <w:trPr/>
        <w:tc>
          <w:tcPr>
            <w:tcW w:w="96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numPr>
                <w:ilvl w:val="0"/>
                <w:numId w:val="5"/>
              </w:numPr>
              <w:spacing w:lineRule="auto" w:line="240" w:before="0" w:after="0"/>
              <w:contextualSpacing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Jakość i rzetelność w prowadzonych badaniach ilościowych. Sposoby wykorzystania wyników badań w praktyce społecznej i pedagogicznej.</w:t>
            </w:r>
          </w:p>
        </w:tc>
      </w:tr>
      <w:tr>
        <w:trPr/>
        <w:tc>
          <w:tcPr>
            <w:tcW w:w="96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numPr>
                <w:ilvl w:val="0"/>
                <w:numId w:val="5"/>
              </w:numPr>
              <w:spacing w:lineRule="auto" w:line="240" w:before="0" w:after="0"/>
              <w:contextualSpacing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Etyka prowadzenia badań ilościowych.</w:t>
            </w:r>
          </w:p>
        </w:tc>
      </w:tr>
      <w:tr>
        <w:trPr/>
        <w:tc>
          <w:tcPr>
            <w:tcW w:w="96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numPr>
                <w:ilvl w:val="0"/>
                <w:numId w:val="5"/>
              </w:numPr>
              <w:spacing w:lineRule="auto" w:line="240" w:before="0" w:after="0"/>
              <w:contextualSpacing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Sposoby redagowania tekstów naukowych, prac dyplomowych.</w:t>
            </w:r>
          </w:p>
        </w:tc>
      </w:tr>
    </w:tbl>
    <w:p>
      <w:pPr>
        <w:pStyle w:val="Normal"/>
        <w:spacing w:lineRule="auto" w:line="240" w:before="0" w:after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</w:r>
    </w:p>
    <w:p>
      <w:pPr>
        <w:pStyle w:val="ListParagraph"/>
        <w:numPr>
          <w:ilvl w:val="0"/>
          <w:numId w:val="1"/>
        </w:numPr>
        <w:spacing w:lineRule="auto" w:line="24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>
      <w:pPr>
        <w:pStyle w:val="ListParagraph"/>
        <w:spacing w:lineRule="auto" w:line="24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</w:r>
    </w:p>
    <w:tbl>
      <w:tblPr>
        <w:tblW w:w="9639" w:type="dxa"/>
        <w:jc w:val="start"/>
        <w:tblInd w:w="109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9639"/>
      </w:tblGrid>
      <w:tr>
        <w:trPr/>
        <w:tc>
          <w:tcPr>
            <w:tcW w:w="96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hanging="708" w:start="708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>
        <w:trPr/>
        <w:tc>
          <w:tcPr>
            <w:tcW w:w="96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numPr>
                <w:ilvl w:val="0"/>
                <w:numId w:val="6"/>
              </w:numPr>
              <w:spacing w:lineRule="auto" w:line="240" w:before="0" w:after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Badania ilościowe – podstawowe pojęcia, analiza wybranych przykładów badań ilościowych w pedagogice przedszkolnej i wczesnoszkolnej.</w:t>
            </w:r>
          </w:p>
        </w:tc>
      </w:tr>
      <w:tr>
        <w:trPr/>
        <w:tc>
          <w:tcPr>
            <w:tcW w:w="96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numPr>
                <w:ilvl w:val="0"/>
                <w:numId w:val="6"/>
              </w:numPr>
              <w:spacing w:lineRule="auto" w:line="240" w:before="0" w:after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Struktura procesu badawczego w badaniach ilościowych: przedmiot badań i </w:t>
            </w:r>
            <w:r>
              <w:rPr>
                <w:rFonts w:ascii="Corbel" w:hAnsi="Corbel"/>
                <w:color w:val="00000A"/>
              </w:rPr>
              <w:t>cele badań ilościowych, problemy i hipotezy badawcze, zmienne i związki między zmiennymi, konceptualizacja i operacjonalizacja zmiennych, zasady tworzenia ram pojęciowych badania naukowego, strategie i techniki doboru próby badawczej.</w:t>
            </w:r>
          </w:p>
        </w:tc>
      </w:tr>
      <w:tr>
        <w:trPr/>
        <w:tc>
          <w:tcPr>
            <w:tcW w:w="96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numPr>
                <w:ilvl w:val="0"/>
                <w:numId w:val="6"/>
              </w:numPr>
              <w:spacing w:lineRule="auto" w:line="240" w:before="0" w:after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Metody, techniki i narzędzia w badaniach ilościowych – charakterystyka. Zasady doboru i projektowania metod i technik badawczych. Opracowanie i weryfikacja narzędzi pomiaru (</w:t>
            </w:r>
            <w:r>
              <w:rPr>
                <w:rFonts w:ascii="Corbel" w:hAnsi="Corbel"/>
                <w:color w:val="00000A"/>
              </w:rPr>
              <w:t>kwestionariusze ankiet i wywiadów, skale pomiarowe i testy pedagogiczne, arkusze obserwacji, narzędzia socjometryczne).</w:t>
            </w:r>
          </w:p>
        </w:tc>
      </w:tr>
      <w:tr>
        <w:trPr/>
        <w:tc>
          <w:tcPr>
            <w:tcW w:w="96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numPr>
                <w:ilvl w:val="0"/>
                <w:numId w:val="6"/>
              </w:numPr>
              <w:spacing w:lineRule="auto" w:line="240" w:before="0" w:after="0"/>
              <w:contextualSpacing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Projektowanie badań ilościowych: sformułowania problematyki projektu, dobranie literatury i materiałów źródłowych,  sformułowania celu i przedmiotu badań, , opracowania metod i techniki badań, przygotowania narzędzi badawczych, doboru próby badawczej, terenu i przebiegu badań. Próby prowadzenia badań ilościowych.</w:t>
            </w:r>
          </w:p>
        </w:tc>
      </w:tr>
      <w:tr>
        <w:trPr/>
        <w:tc>
          <w:tcPr>
            <w:tcW w:w="96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numPr>
                <w:ilvl w:val="0"/>
                <w:numId w:val="6"/>
              </w:numPr>
              <w:spacing w:lineRule="auto" w:line="240" w:before="0" w:after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  <w:color w:val="00000A"/>
              </w:rPr>
              <w:t>Sposoby analizy wyników badań oraz prezentacji wyników badań ilościowych.</w:t>
            </w:r>
          </w:p>
        </w:tc>
      </w:tr>
      <w:tr>
        <w:trPr/>
        <w:tc>
          <w:tcPr>
            <w:tcW w:w="96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numPr>
                <w:ilvl w:val="0"/>
                <w:numId w:val="6"/>
              </w:numPr>
              <w:spacing w:lineRule="auto" w:line="240" w:before="0" w:after="0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Projekt badań własnych, przygotowanie, realizacja, prezentacja wyników.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szCs w:val="24"/>
        </w:rPr>
      </w:pPr>
      <w:r>
        <w:rPr>
          <w:rFonts w:ascii="Corbel" w:hAnsi="Corbel"/>
          <w:b w:val="false"/>
          <w:szCs w:val="24"/>
        </w:rPr>
      </w:r>
    </w:p>
    <w:p>
      <w:pPr>
        <w:pStyle w:val="Punktygwne"/>
        <w:spacing w:before="0" w:after="0"/>
        <w:ind w:start="426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3.4 Metody dydaktyczne</w:t>
      </w:r>
      <w:r>
        <w:rPr>
          <w:rFonts w:ascii="Corbel" w:hAnsi="Corbel"/>
          <w:b w:val="false"/>
          <w:caps w:val="false"/>
          <w:smallCaps w:val="false"/>
          <w:szCs w:val="24"/>
        </w:rPr>
        <w:t xml:space="preserve"> 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jc w:val="both"/>
        <w:rPr>
          <w:rFonts w:ascii="Corbel" w:hAnsi="Corbel"/>
          <w:b w:val="false"/>
          <w:i/>
          <w:i/>
          <w:caps w:val="false"/>
          <w:smallCaps w:val="false"/>
          <w:sz w:val="20"/>
          <w:szCs w:val="20"/>
        </w:rPr>
      </w:pPr>
      <w:r>
        <w:rPr>
          <w:rFonts w:ascii="Corbel" w:hAnsi="Corbel"/>
          <w:b w:val="false"/>
          <w:i/>
          <w:caps w:val="false"/>
          <w:smallCaps w:val="false"/>
          <w:sz w:val="20"/>
          <w:szCs w:val="20"/>
        </w:rPr>
        <w:t xml:space="preserve">Wykład z prezentacją multimedialną, analiza tekstów prezentujących badania empiryczne z interpretacją - dyskusja, ćwiczenia. </w:t>
      </w:r>
    </w:p>
    <w:p>
      <w:pPr>
        <w:pStyle w:val="Punktygwne"/>
        <w:tabs>
          <w:tab w:val="clear" w:pos="708"/>
          <w:tab w:val="left" w:pos="284" w:leader="none"/>
        </w:tabs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p>
      <w:pPr>
        <w:pStyle w:val="Punktygwne"/>
        <w:tabs>
          <w:tab w:val="clear" w:pos="708"/>
          <w:tab w:val="left" w:pos="284" w:leader="none"/>
        </w:tabs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 xml:space="preserve">4. METODY I KRYTERIA OCENY </w:t>
      </w:r>
    </w:p>
    <w:p>
      <w:pPr>
        <w:pStyle w:val="Punktygwne"/>
        <w:tabs>
          <w:tab w:val="clear" w:pos="708"/>
          <w:tab w:val="left" w:pos="284" w:leader="none"/>
        </w:tabs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p>
      <w:pPr>
        <w:pStyle w:val="Punktygwne"/>
        <w:spacing w:before="0" w:after="0"/>
        <w:ind w:start="426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4.1 Sposoby weryfikacji efektów uczenia się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tbl>
      <w:tblPr>
        <w:tblW w:w="9520" w:type="dxa"/>
        <w:jc w:val="start"/>
        <w:tblInd w:w="109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1962"/>
        <w:gridCol w:w="5439"/>
        <w:gridCol w:w="2119"/>
      </w:tblGrid>
      <w:tr>
        <w:trPr/>
        <w:tc>
          <w:tcPr>
            <w:tcW w:w="1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Symbol efektu</w:t>
            </w:r>
          </w:p>
        </w:tc>
        <w:tc>
          <w:tcPr>
            <w:tcW w:w="54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Metody oceny efektów uczenia sie</w:t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Forma zajęć dydaktycznych</w:t>
            </w:r>
          </w:p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(w, ćw, …)</w:t>
            </w:r>
          </w:p>
        </w:tc>
      </w:tr>
      <w:tr>
        <w:trPr/>
        <w:tc>
          <w:tcPr>
            <w:tcW w:w="1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  <w:t>ek_ 01</w:t>
            </w:r>
          </w:p>
        </w:tc>
        <w:tc>
          <w:tcPr>
            <w:tcW w:w="54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egzamin</w:t>
            </w:r>
          </w:p>
        </w:tc>
        <w:tc>
          <w:tcPr>
            <w:tcW w:w="21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wykład,</w:t>
            </w:r>
          </w:p>
        </w:tc>
      </w:tr>
      <w:tr>
        <w:trPr/>
        <w:tc>
          <w:tcPr>
            <w:tcW w:w="1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  <w:t>Ek_ 02</w:t>
            </w:r>
          </w:p>
        </w:tc>
        <w:tc>
          <w:tcPr>
            <w:tcW w:w="54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egzamin, kolokwium, projekt badawczy</w:t>
            </w:r>
          </w:p>
        </w:tc>
        <w:tc>
          <w:tcPr>
            <w:tcW w:w="21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center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wykład,  ćwiczenia</w:t>
            </w:r>
          </w:p>
        </w:tc>
      </w:tr>
      <w:tr>
        <w:trPr/>
        <w:tc>
          <w:tcPr>
            <w:tcW w:w="1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  <w:t>EK_03</w:t>
            </w:r>
          </w:p>
        </w:tc>
        <w:tc>
          <w:tcPr>
            <w:tcW w:w="54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egzamin, projekt badawczy</w:t>
            </w:r>
          </w:p>
        </w:tc>
        <w:tc>
          <w:tcPr>
            <w:tcW w:w="21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widowControl/>
              <w:suppressAutoHyphens w:val="false"/>
              <w:bidi w:val="0"/>
              <w:spacing w:before="0" w:after="0"/>
              <w:jc w:val="center"/>
              <w:rPr/>
            </w:pPr>
            <w:r>
              <w:rPr>
                <w:rFonts w:eastAsia="Calibri" w:cs="Times New Roman" w:ascii="Corbel" w:hAnsi="Corbel"/>
                <w:b w:val="false"/>
                <w:caps w:val="false"/>
                <w:smallCaps w:val="false"/>
                <w:color w:val="auto"/>
                <w:kern w:val="0"/>
                <w:szCs w:val="24"/>
                <w:lang w:val="pl-PL" w:eastAsia="en-US" w:bidi="ar-SA"/>
              </w:rPr>
              <w:t>wykład, ćwiczenia</w:t>
            </w:r>
          </w:p>
        </w:tc>
      </w:tr>
      <w:tr>
        <w:trPr/>
        <w:tc>
          <w:tcPr>
            <w:tcW w:w="1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  <w:t>EK_04</w:t>
            </w:r>
          </w:p>
        </w:tc>
        <w:tc>
          <w:tcPr>
            <w:tcW w:w="54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egzamin, projekt badawczy</w:t>
            </w:r>
          </w:p>
        </w:tc>
        <w:tc>
          <w:tcPr>
            <w:tcW w:w="21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center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wykład, ćwiczenia</w:t>
            </w:r>
          </w:p>
        </w:tc>
      </w:tr>
      <w:tr>
        <w:trPr/>
        <w:tc>
          <w:tcPr>
            <w:tcW w:w="1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  <w:t>EK_05</w:t>
            </w:r>
          </w:p>
        </w:tc>
        <w:tc>
          <w:tcPr>
            <w:tcW w:w="54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egzamin, projekt badawczy</w:t>
            </w:r>
          </w:p>
        </w:tc>
        <w:tc>
          <w:tcPr>
            <w:tcW w:w="21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center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wykład, ćwiczenia</w:t>
            </w:r>
          </w:p>
        </w:tc>
      </w:tr>
      <w:tr>
        <w:trPr/>
        <w:tc>
          <w:tcPr>
            <w:tcW w:w="1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EK_06</w:t>
            </w:r>
          </w:p>
        </w:tc>
        <w:tc>
          <w:tcPr>
            <w:tcW w:w="543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b w:val="false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egzamin, projekt badawczy</w:t>
            </w:r>
          </w:p>
        </w:tc>
        <w:tc>
          <w:tcPr>
            <w:tcW w:w="211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center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wykład, ćwiczenia</w:t>
            </w:r>
          </w:p>
        </w:tc>
      </w:tr>
      <w:tr>
        <w:trPr/>
        <w:tc>
          <w:tcPr>
            <w:tcW w:w="196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EK_07</w:t>
            </w:r>
          </w:p>
        </w:tc>
        <w:tc>
          <w:tcPr>
            <w:tcW w:w="54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projekt badawczy</w:t>
            </w:r>
          </w:p>
        </w:tc>
        <w:tc>
          <w:tcPr>
            <w:tcW w:w="211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ćwiczenia</w:t>
            </w:r>
          </w:p>
        </w:tc>
      </w:tr>
      <w:tr>
        <w:trPr/>
        <w:tc>
          <w:tcPr>
            <w:tcW w:w="196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EK_08</w:t>
            </w:r>
          </w:p>
        </w:tc>
        <w:tc>
          <w:tcPr>
            <w:tcW w:w="54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projekt badawczy</w:t>
            </w:r>
          </w:p>
        </w:tc>
        <w:tc>
          <w:tcPr>
            <w:tcW w:w="211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ćwiczenia</w:t>
            </w:r>
          </w:p>
        </w:tc>
      </w:tr>
      <w:tr>
        <w:trPr/>
        <w:tc>
          <w:tcPr>
            <w:tcW w:w="196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EK_09</w:t>
            </w:r>
          </w:p>
        </w:tc>
        <w:tc>
          <w:tcPr>
            <w:tcW w:w="54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kolokwium, projekt badawczy</w:t>
            </w:r>
          </w:p>
        </w:tc>
        <w:tc>
          <w:tcPr>
            <w:tcW w:w="211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ćwiczenia</w:t>
            </w:r>
          </w:p>
        </w:tc>
      </w:tr>
      <w:tr>
        <w:trPr/>
        <w:tc>
          <w:tcPr>
            <w:tcW w:w="196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EK_10</w:t>
            </w:r>
          </w:p>
        </w:tc>
        <w:tc>
          <w:tcPr>
            <w:tcW w:w="54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kolokwium, projekt badawczy</w:t>
            </w:r>
          </w:p>
        </w:tc>
        <w:tc>
          <w:tcPr>
            <w:tcW w:w="211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ćwiczenia</w:t>
            </w:r>
          </w:p>
        </w:tc>
      </w:tr>
      <w:tr>
        <w:trPr/>
        <w:tc>
          <w:tcPr>
            <w:tcW w:w="196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EK_11</w:t>
            </w:r>
          </w:p>
        </w:tc>
        <w:tc>
          <w:tcPr>
            <w:tcW w:w="54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kolokwium, projekt badawczy</w:t>
            </w:r>
          </w:p>
        </w:tc>
        <w:tc>
          <w:tcPr>
            <w:tcW w:w="211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ćwiczenia</w:t>
            </w:r>
          </w:p>
        </w:tc>
      </w:tr>
      <w:tr>
        <w:trPr/>
        <w:tc>
          <w:tcPr>
            <w:tcW w:w="196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EK_12</w:t>
            </w:r>
          </w:p>
        </w:tc>
        <w:tc>
          <w:tcPr>
            <w:tcW w:w="54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kolokwium, projekt badawczy</w:t>
            </w:r>
          </w:p>
        </w:tc>
        <w:tc>
          <w:tcPr>
            <w:tcW w:w="211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ćwiczenia</w:t>
            </w:r>
          </w:p>
        </w:tc>
      </w:tr>
      <w:tr>
        <w:trPr/>
        <w:tc>
          <w:tcPr>
            <w:tcW w:w="196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EK_13</w:t>
            </w:r>
          </w:p>
        </w:tc>
        <w:tc>
          <w:tcPr>
            <w:tcW w:w="54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kolokwium, projekt badawczy</w:t>
            </w:r>
          </w:p>
        </w:tc>
        <w:tc>
          <w:tcPr>
            <w:tcW w:w="211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ćwiczenia</w:t>
            </w:r>
          </w:p>
        </w:tc>
      </w:tr>
      <w:tr>
        <w:trPr/>
        <w:tc>
          <w:tcPr>
            <w:tcW w:w="196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EK_14</w:t>
            </w:r>
          </w:p>
        </w:tc>
        <w:tc>
          <w:tcPr>
            <w:tcW w:w="54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kolokwium, projekt badawczy</w:t>
            </w:r>
          </w:p>
        </w:tc>
        <w:tc>
          <w:tcPr>
            <w:tcW w:w="211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ćwiczenia</w:t>
            </w:r>
          </w:p>
        </w:tc>
      </w:tr>
      <w:tr>
        <w:trPr/>
        <w:tc>
          <w:tcPr>
            <w:tcW w:w="196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EK_15</w:t>
            </w:r>
          </w:p>
        </w:tc>
        <w:tc>
          <w:tcPr>
            <w:tcW w:w="54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kolokwium, projekt badawczy</w:t>
            </w:r>
          </w:p>
        </w:tc>
        <w:tc>
          <w:tcPr>
            <w:tcW w:w="211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ćwiczenia</w:t>
            </w:r>
          </w:p>
        </w:tc>
      </w:tr>
      <w:tr>
        <w:trPr/>
        <w:tc>
          <w:tcPr>
            <w:tcW w:w="196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  <w:szCs w:val="24"/>
              </w:rPr>
              <w:t>EK_16</w:t>
            </w:r>
          </w:p>
        </w:tc>
        <w:tc>
          <w:tcPr>
            <w:tcW w:w="54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obserwacja w czasie zajęć, projekt badawczy</w:t>
            </w:r>
          </w:p>
        </w:tc>
        <w:tc>
          <w:tcPr>
            <w:tcW w:w="211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ćwiczenia</w:t>
            </w:r>
          </w:p>
        </w:tc>
      </w:tr>
      <w:tr>
        <w:trPr/>
        <w:tc>
          <w:tcPr>
            <w:tcW w:w="196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szCs w:val="24"/>
              </w:rPr>
            </w:pPr>
            <w:r>
              <w:rPr>
                <w:rFonts w:ascii="Corbel" w:hAnsi="Corbel"/>
                <w:b w:val="false"/>
              </w:rPr>
              <w:t>Ek_ 17</w:t>
            </w:r>
          </w:p>
        </w:tc>
        <w:tc>
          <w:tcPr>
            <w:tcW w:w="543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obserwacja w czasie zajęć, projekt badawczy</w:t>
            </w:r>
          </w:p>
        </w:tc>
        <w:tc>
          <w:tcPr>
            <w:tcW w:w="211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jc w:val="center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ćwiczenia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ind w:start="426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 xml:space="preserve">4.2 Warunki zaliczenia przedmiotu (kryteria oceniania) </w:t>
      </w:r>
    </w:p>
    <w:p>
      <w:pPr>
        <w:pStyle w:val="Punktygwne"/>
        <w:spacing w:before="0" w:after="0"/>
        <w:ind w:start="426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tbl>
      <w:tblPr>
        <w:tblW w:w="9670" w:type="dxa"/>
        <w:jc w:val="start"/>
        <w:tblInd w:w="109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9670"/>
      </w:tblGrid>
      <w:tr>
        <w:trPr/>
        <w:tc>
          <w:tcPr>
            <w:tcW w:w="96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Zaliczenie wykładu – obecność.</w:t>
            </w:r>
          </w:p>
          <w:p>
            <w:pPr>
              <w:pStyle w:val="Punktygwne"/>
              <w:spacing w:before="0" w:after="0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Zaliczenie </w:t>
            </w: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 xml:space="preserve">ćwiczeń </w:t>
            </w: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–  aktywność, projekt badawczy – opracowanie koncepcji badań jakościowych, ich realizacja i prezentacja</w:t>
            </w:r>
          </w:p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Zaliczenie przedmiotu – egzamin pisemny (51% poprawnych odpowiedzi).</w:t>
            </w:r>
          </w:p>
          <w:p>
            <w:pPr>
              <w:pStyle w:val="Standard"/>
              <w:rPr>
                <w:rFonts w:ascii="Corbel" w:hAnsi="Corbel"/>
                <w:shd w:fill="FFFFFF" w:val="clear"/>
              </w:rPr>
            </w:pPr>
            <w:r>
              <w:rPr>
                <w:rFonts w:ascii="Corbel" w:hAnsi="Corbel"/>
                <w:shd w:fill="FFFFFF" w:val="clear"/>
              </w:rPr>
              <w:t>Egzamin pisemny ukierunkowany jest na sprawdzenie wiedzy wykraczającej poza znajomość faktów. Służy sprawdzeniu poziomu zrozumienia zagadnień, umiejętności analizy i syntezy informacji, rozwiązywaniu problemów.</w:t>
            </w:r>
          </w:p>
          <w:p>
            <w:pPr>
              <w:pStyle w:val="Punktygwne"/>
              <w:spacing w:before="0" w:after="0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  <w:u w:val="single"/>
              </w:rPr>
              <w:t>Kryteria oceny prac pisemnych</w:t>
            </w: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:</w:t>
            </w:r>
          </w:p>
          <w:p>
            <w:pPr>
              <w:pStyle w:val="Punktygwne"/>
              <w:spacing w:before="0" w:after="0"/>
              <w:jc w:val="both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5.0 - wykazuje znajomość każdej z treści kształcenia na poziomie 91%-100%</w:t>
            </w:r>
          </w:p>
          <w:p>
            <w:pPr>
              <w:pStyle w:val="Punktygwne"/>
              <w:spacing w:before="0" w:after="0"/>
              <w:jc w:val="both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4.5 – wykazuje znajomość każdej z treści kształcenia na poziomie 81%-90%</w:t>
            </w:r>
          </w:p>
          <w:p>
            <w:pPr>
              <w:pStyle w:val="Punktygwne"/>
              <w:spacing w:before="0" w:after="0"/>
              <w:jc w:val="both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4.0 – wykazuje znajomość każdej z treści kształcenia na poziomie 71%-80%</w:t>
            </w:r>
          </w:p>
          <w:p>
            <w:pPr>
              <w:pStyle w:val="Punktygwne"/>
              <w:spacing w:before="0" w:after="0"/>
              <w:jc w:val="both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3.5 – wykazuje znajomość każdej z treści kształcenia na poziomie 61%-70%</w:t>
            </w:r>
          </w:p>
          <w:p>
            <w:pPr>
              <w:pStyle w:val="Punktygwne"/>
              <w:spacing w:before="0" w:after="0"/>
              <w:jc w:val="both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3.0 – wykazuje znajomość każdej z treści kształcenia na poziomie 51%-60%</w:t>
            </w:r>
          </w:p>
          <w:p>
            <w:pPr>
              <w:pStyle w:val="Punktygwne"/>
              <w:spacing w:before="0" w:after="0"/>
              <w:jc w:val="both"/>
              <w:rPr/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2.0– wykazuje znajomość każdej z treści kształcenia poniżej 51%</w:t>
            </w:r>
          </w:p>
          <w:p>
            <w:pPr>
              <w:pStyle w:val="Standard"/>
              <w:rPr>
                <w:rFonts w:hint="eastAsia"/>
              </w:rPr>
            </w:pPr>
            <w:r>
              <w:rPr>
                <w:rFonts w:eastAsia="Calibri" w:cs="Times New Roman" w:ascii="Corbel" w:hAnsi="Corbel"/>
                <w:kern w:val="0"/>
                <w:u w:val="single"/>
              </w:rPr>
              <w:t>Kryteria oceny projektów</w:t>
            </w:r>
            <w:r>
              <w:rPr>
                <w:rFonts w:eastAsia="Calibri" w:cs="Times New Roman" w:ascii="Corbel" w:hAnsi="Corbel"/>
                <w:kern w:val="0"/>
              </w:rPr>
              <w:t>:</w:t>
            </w:r>
          </w:p>
          <w:p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2,0 - Student nie opracował projektu, jego wiedza i umiejętności są niewystarczające na każdym etapie projektu.</w:t>
            </w:r>
          </w:p>
        </w:tc>
      </w:tr>
    </w:tbl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NoSpacing"/>
        <w:ind w:hanging="284" w:start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tbl>
      <w:tblPr>
        <w:tblW w:w="9639" w:type="dxa"/>
        <w:jc w:val="start"/>
        <w:tblInd w:w="109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4962"/>
        <w:gridCol w:w="4677"/>
      </w:tblGrid>
      <w:tr>
        <w:trPr/>
        <w:tc>
          <w:tcPr>
            <w:tcW w:w="4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>
        <w:trPr/>
        <w:tc>
          <w:tcPr>
            <w:tcW w:w="4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/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>
        <w:trPr/>
        <w:tc>
          <w:tcPr>
            <w:tcW w:w="4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 egzaminie)</w:t>
            </w:r>
          </w:p>
        </w:tc>
        <w:tc>
          <w:tcPr>
            <w:tcW w:w="46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>
        <w:trPr/>
        <w:tc>
          <w:tcPr>
            <w:tcW w:w="4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niekontaktowe: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własna studenta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kolokwium, w tym kolokwium końcowego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projektu</w:t>
            </w:r>
          </w:p>
        </w:tc>
        <w:tc>
          <w:tcPr>
            <w:tcW w:w="46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</w:r>
          </w:p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>
        <w:trPr/>
        <w:tc>
          <w:tcPr>
            <w:tcW w:w="4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>
        <w:trPr/>
        <w:tc>
          <w:tcPr>
            <w:tcW w:w="496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ListParagraph"/>
              <w:spacing w:lineRule="auto" w:line="240" w:before="0" w:after="0"/>
              <w:ind w:start="0"/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>
      <w:pPr>
        <w:pStyle w:val="Punktygwne"/>
        <w:spacing w:before="0" w:after="0"/>
        <w:ind w:start="426"/>
        <w:rPr>
          <w:rFonts w:ascii="Corbel" w:hAnsi="Corbel"/>
          <w:b w:val="false"/>
          <w:i/>
          <w:i/>
          <w:caps w:val="false"/>
          <w:smallCaps w:val="false"/>
          <w:szCs w:val="24"/>
        </w:rPr>
      </w:pPr>
      <w:r>
        <w:rPr>
          <w:rFonts w:ascii="Corbel" w:hAnsi="Corbel"/>
          <w:b w:val="false"/>
          <w:i/>
          <w:caps w:val="false"/>
          <w:smallCaps w:val="false"/>
          <w:szCs w:val="24"/>
        </w:rPr>
        <w:t>* Należy uwzględnić, że 1 pkt ECTS odpowiada 25-30 godzin całkowitego nakładu pracy studenta.</w:t>
      </w:r>
    </w:p>
    <w:p>
      <w:pPr>
        <w:pStyle w:val="Punktygwne"/>
        <w:spacing w:before="0" w:after="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>6. PRAKTYKI ZAWODOWE W RAMACH PRZEDMIOTU</w:t>
      </w:r>
    </w:p>
    <w:p>
      <w:pPr>
        <w:pStyle w:val="Punktygwne"/>
        <w:spacing w:before="0" w:after="0"/>
        <w:ind w:start="36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tbl>
      <w:tblPr>
        <w:tblW w:w="7514" w:type="dxa"/>
        <w:jc w:val="start"/>
        <w:tblInd w:w="675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3544"/>
        <w:gridCol w:w="3970"/>
      </w:tblGrid>
      <w:tr>
        <w:trPr>
          <w:trHeight w:val="397" w:hRule="atLeast"/>
        </w:trPr>
        <w:tc>
          <w:tcPr>
            <w:tcW w:w="3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Nie dotyczy</w:t>
            </w:r>
          </w:p>
        </w:tc>
      </w:tr>
      <w:tr>
        <w:trPr>
          <w:trHeight w:val="397" w:hRule="atLeast"/>
        </w:trPr>
        <w:tc>
          <w:tcPr>
            <w:tcW w:w="35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Nie dotyczy</w:t>
            </w:r>
          </w:p>
        </w:tc>
      </w:tr>
    </w:tbl>
    <w:p>
      <w:pPr>
        <w:pStyle w:val="Punktygwne"/>
        <w:spacing w:before="0" w:after="0"/>
        <w:ind w:start="36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  <w:t xml:space="preserve">7. LITERATURA </w:t>
      </w:r>
    </w:p>
    <w:p>
      <w:pPr>
        <w:pStyle w:val="Punktygwne"/>
        <w:spacing w:before="0" w:after="0"/>
        <w:rPr>
          <w:rFonts w:ascii="Corbel" w:hAnsi="Corbel"/>
          <w:caps w:val="false"/>
          <w:smallCaps w:val="false"/>
          <w:szCs w:val="24"/>
        </w:rPr>
      </w:pPr>
      <w:r>
        <w:rPr>
          <w:rFonts w:ascii="Corbel" w:hAnsi="Corbel"/>
          <w:caps w:val="false"/>
          <w:smallCaps w:val="false"/>
          <w:szCs w:val="24"/>
        </w:rPr>
      </w:r>
    </w:p>
    <w:tbl>
      <w:tblPr>
        <w:tblW w:w="7514" w:type="dxa"/>
        <w:jc w:val="start"/>
        <w:tblInd w:w="675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7514"/>
      </w:tblGrid>
      <w:tr>
        <w:trPr>
          <w:trHeight w:val="397" w:hRule="atLeast"/>
        </w:trPr>
        <w:tc>
          <w:tcPr>
            <w:tcW w:w="75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Literatura podstawowa:</w:t>
            </w:r>
          </w:p>
          <w:p>
            <w:pPr>
              <w:pStyle w:val="Punktygwne"/>
              <w:numPr>
                <w:ilvl w:val="0"/>
                <w:numId w:val="3"/>
              </w:numPr>
              <w:spacing w:before="0" w:after="0"/>
              <w:ind w:hanging="142" w:start="176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Łobocki M., Wprowadzenie do metodologii badań pedagogicznych. Warszawa 2007.</w:t>
            </w:r>
          </w:p>
          <w:p>
            <w:pPr>
              <w:pStyle w:val="Punktygwne"/>
              <w:numPr>
                <w:ilvl w:val="0"/>
                <w:numId w:val="3"/>
              </w:numPr>
              <w:spacing w:before="0" w:after="0"/>
              <w:ind w:hanging="142" w:start="176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Łobocki M., Metody badań pedagogicznych. Warszawa 1982.</w:t>
            </w:r>
          </w:p>
          <w:p>
            <w:pPr>
              <w:pStyle w:val="Punktygwne"/>
              <w:numPr>
                <w:ilvl w:val="0"/>
                <w:numId w:val="3"/>
              </w:numPr>
              <w:spacing w:before="0" w:after="0"/>
              <w:ind w:hanging="142" w:start="176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Muszyńska H., Metodologiczne vademecum badacza pedagoga. Poznań 2018.</w:t>
            </w:r>
          </w:p>
          <w:p>
            <w:pPr>
              <w:pStyle w:val="Punktygwne"/>
              <w:numPr>
                <w:ilvl w:val="0"/>
                <w:numId w:val="3"/>
              </w:numPr>
              <w:spacing w:before="0" w:after="0"/>
              <w:ind w:hanging="142" w:start="176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Nowak S., Metodologia badań socjologicznych. Warszawa 1970.</w:t>
            </w:r>
          </w:p>
          <w:p>
            <w:pPr>
              <w:pStyle w:val="Punktygwne"/>
              <w:numPr>
                <w:ilvl w:val="0"/>
                <w:numId w:val="3"/>
              </w:numPr>
              <w:spacing w:before="0" w:after="0"/>
              <w:ind w:hanging="142" w:start="176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Pilch T., Bauman T., Zasady badań pedagogicznych. Poznań 2001.</w:t>
            </w:r>
          </w:p>
          <w:p>
            <w:pPr>
              <w:pStyle w:val="Punktygwne"/>
              <w:numPr>
                <w:ilvl w:val="0"/>
                <w:numId w:val="3"/>
              </w:numPr>
              <w:spacing w:before="0" w:after="0"/>
              <w:ind w:hanging="142" w:start="176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Rubacha K., Metodologia badań nad edukacją. Warszawa 2008.</w:t>
            </w:r>
          </w:p>
        </w:tc>
      </w:tr>
      <w:tr>
        <w:trPr>
          <w:trHeight w:val="397" w:hRule="atLeast"/>
        </w:trPr>
        <w:tc>
          <w:tcPr>
            <w:tcW w:w="75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Punktygwne"/>
              <w:spacing w:before="0" w:after="0"/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szCs w:val="24"/>
              </w:rPr>
              <w:t>Literatura uzupełniająca:</w:t>
            </w:r>
          </w:p>
          <w:p>
            <w:pPr>
              <w:pStyle w:val="Punktygwne"/>
              <w:numPr>
                <w:ilvl w:val="0"/>
                <w:numId w:val="4"/>
              </w:numPr>
              <w:spacing w:before="0" w:after="0"/>
              <w:ind w:hanging="142" w:start="176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Babbie E., Podstawy badań społecznych. Warszawa 2003.</w:t>
            </w:r>
          </w:p>
          <w:p>
            <w:pPr>
              <w:pStyle w:val="Punktygwne"/>
              <w:numPr>
                <w:ilvl w:val="0"/>
                <w:numId w:val="4"/>
              </w:numPr>
              <w:spacing w:before="0" w:after="0"/>
              <w:ind w:hanging="142" w:start="176"/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</w:pPr>
            <w:r>
              <w:rPr>
                <w:rFonts w:ascii="Corbel" w:hAnsi="Corbel"/>
                <w:b w:val="false"/>
                <w:caps w:val="false"/>
                <w:smallCaps w:val="false"/>
                <w:color w:val="000000"/>
                <w:szCs w:val="24"/>
              </w:rPr>
              <w:t>Frankfort-Nachmias Ch., Nachmias D., Metody badawcze w naukach społecznych. Poznań 2001.</w:t>
            </w:r>
          </w:p>
        </w:tc>
      </w:tr>
    </w:tbl>
    <w:p>
      <w:pPr>
        <w:pStyle w:val="Punktygwne"/>
        <w:spacing w:before="0" w:after="0"/>
        <w:ind w:start="36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ind w:start="360"/>
        <w:rPr>
          <w:rFonts w:ascii="Corbel" w:hAnsi="Corbel"/>
          <w:b w:val="false"/>
          <w:caps w:val="false"/>
          <w:smallCaps w:val="false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</w:r>
    </w:p>
    <w:p>
      <w:pPr>
        <w:pStyle w:val="Punktygwne"/>
        <w:spacing w:before="0" w:after="0"/>
        <w:ind w:start="360"/>
        <w:rPr>
          <w:rFonts w:ascii="Corbel" w:hAnsi="Corbel"/>
          <w:szCs w:val="24"/>
        </w:rPr>
      </w:pPr>
      <w:r>
        <w:rPr>
          <w:rFonts w:ascii="Corbel" w:hAnsi="Corbel"/>
          <w:b w:val="false"/>
          <w:caps w:val="false"/>
          <w:smallCaps w:val="false"/>
          <w:szCs w:val="24"/>
        </w:rPr>
        <w:t>Akceptacja Kierownika Jednostki lub osoby upoważnionej</w:t>
      </w:r>
    </w:p>
    <w:sectPr>
      <w:footnotePr>
        <w:numFmt w:val="decimal"/>
      </w:footnote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Calibri">
    <w:charset w:val="ee" w:characterSet="windows-1250"/>
    <w:family w:val="swiss"/>
    <w:pitch w:val="variable"/>
  </w:font>
  <w:font w:name="Tahoma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Arial">
    <w:charset w:val="ee" w:characterSet="windows-1250"/>
    <w:family w:val="swiss"/>
    <w:pitch w:val="variable"/>
  </w:font>
  <w:font w:name="Corbel">
    <w:charset w:val="ee" w:characterSet="windows-1250"/>
    <w:family w:val="swiss"/>
    <w:pitch w:val="variable"/>
  </w:font>
  <w:font w:name="MS Gothic">
    <w:charset w:val="ee" w:characterSet="windows-1250"/>
    <w:family w:val="swiss"/>
    <w:pitch w:val="variable"/>
  </w:font>
  <w:font w:name="Wingdings">
    <w:charset w:val="02"/>
    <w:family w:val="auto"/>
    <w:pitch w:val="variable"/>
  </w:font>
  <w:font w:name="Courier New">
    <w:charset w:val="01"/>
    <w:family w:val="modern"/>
    <w:pitch w:val="fixed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rPr/>
      </w:pPr>
      <w:r>
        <w:rPr>
          <w:rStyle w:val="Znakiprzypiswdolnych"/>
        </w:rPr>
        <w:footnoteRef/>
      </w:r>
      <w:r>
        <w:rPr/>
        <w:t xml:space="preserve"> </w:t>
      </w:r>
      <w:r>
        <w:rPr/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upperLetter"/>
      <w:lvlText w:val="%1."/>
      <w:lvlJc w:val="start"/>
      <w:pPr>
        <w:tabs>
          <w:tab w:val="num" w:pos="0"/>
        </w:tabs>
        <w:ind w:start="108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80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52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324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96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68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40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612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840" w:hanging="180"/>
      </w:pPr>
      <w:rPr/>
    </w:lvl>
  </w:abstractNum>
  <w:abstractNum w:abstractNumId="2">
    <w:lvl w:ilvl="0">
      <w:start w:val="1"/>
      <w:numFmt w:val="bullet"/>
      <w:lvlText w:val=""/>
      <w:lvlJc w:val="start"/>
      <w:pPr>
        <w:tabs>
          <w:tab w:val="num" w:pos="0"/>
        </w:tabs>
        <w:ind w:star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"/>
      <w:lvlJc w:val="start"/>
      <w:pPr>
        <w:tabs>
          <w:tab w:val="num" w:pos="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"/>
      <w:lvlJc w:val="start"/>
      <w:pPr>
        <w:tabs>
          <w:tab w:val="num" w:pos="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08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180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52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24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396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468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40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120" w:hanging="180"/>
      </w:pPr>
      <w:rPr/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0"/>
        </w:tabs>
        <w:ind w:start="36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08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180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52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24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396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468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40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120" w:hanging="180"/>
      </w:pPr>
      <w:rPr/>
    </w:lvl>
  </w:abstractNum>
  <w:abstractNum w:abstractNumId="7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footnotePr>
    <w:numFmt w:val="decimal"/>
    <w:footnote w:id="0"/>
    <w:footnote w:id="1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bd66e9"/>
    <w:pPr>
      <w:widowControl/>
      <w:suppressAutoHyphens w:val="false"/>
      <w:bidi w:val="0"/>
      <w:spacing w:lineRule="auto" w:line="276" w:before="0" w:after="200"/>
      <w:jc w:val="start"/>
    </w:pPr>
    <w:rPr>
      <w:rFonts w:ascii="Calibri" w:hAnsi="Calibri" w:eastAsia="Calibri" w:cs="Times New Roman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ytuZnak" w:customStyle="1">
    <w:name w:val="Tytuł Znak"/>
    <w:qFormat/>
    <w:rsid w:val="00bd66e9"/>
    <w:rPr>
      <w:rFonts w:eastAsia="Times New Roman"/>
      <w:b/>
      <w:bCs/>
      <w:lang w:eastAsia="pl-PL"/>
    </w:rPr>
  </w:style>
  <w:style w:type="character" w:styleId="TekstdymkaZnak" w:customStyle="1">
    <w:name w:val="Tekst dymka Znak"/>
    <w:link w:val="BalloonText"/>
    <w:uiPriority w:val="99"/>
    <w:semiHidden/>
    <w:qFormat/>
    <w:rsid w:val="00cf78ed"/>
    <w:rPr>
      <w:rFonts w:ascii="Tahoma" w:hAnsi="Tahoma" w:eastAsia="Calibri" w:cs="Tahoma"/>
      <w:sz w:val="16"/>
      <w:szCs w:val="16"/>
    </w:rPr>
  </w:style>
  <w:style w:type="character" w:styleId="NagwekZnak" w:customStyle="1">
    <w:name w:val="Nagłówek Znak"/>
    <w:uiPriority w:val="99"/>
    <w:qFormat/>
    <w:rsid w:val="00c16abf"/>
    <w:rPr>
      <w:rFonts w:ascii="Calibri" w:hAnsi="Calibri" w:eastAsia="Calibri"/>
      <w:sz w:val="22"/>
      <w:szCs w:val="22"/>
    </w:rPr>
  </w:style>
  <w:style w:type="character" w:styleId="StopkaZnak" w:customStyle="1">
    <w:name w:val="Stopka Znak"/>
    <w:uiPriority w:val="99"/>
    <w:qFormat/>
    <w:rsid w:val="00c16abf"/>
    <w:rPr>
      <w:rFonts w:ascii="Calibri" w:hAnsi="Calibri" w:eastAsia="Calibri"/>
      <w:sz w:val="22"/>
      <w:szCs w:val="22"/>
    </w:rPr>
  </w:style>
  <w:style w:type="character" w:styleId="TekstprzypisudolnegoZnak" w:customStyle="1">
    <w:name w:val="Tekst przypisu dolnego Znak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styleId="Znakiprzypiswdolnychuser">
    <w:name w:val="Znaki przypisów dolnych (user)"/>
    <w:uiPriority w:val="99"/>
    <w:semiHidden/>
    <w:unhideWhenUsed/>
    <w:qFormat/>
    <w:rsid w:val="0085747a"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TekstpodstawowyZnak" w:customStyle="1">
    <w:name w:val="Tekst podstawowy Znak"/>
    <w:uiPriority w:val="99"/>
    <w:semiHidden/>
    <w:qFormat/>
    <w:rsid w:val="0085747a"/>
    <w:rPr>
      <w:rFonts w:ascii="Calibri" w:hAnsi="Calibri" w:eastAsia="Calibri"/>
      <w:sz w:val="22"/>
      <w:szCs w:val="22"/>
    </w:rPr>
  </w:style>
  <w:style w:type="character" w:styleId="PageNumber">
    <w:name w:val="page number"/>
    <w:basedOn w:val="DefaultParagraphFont"/>
    <w:semiHidden/>
    <w:rsid w:val="0085747a"/>
    <w:rPr/>
  </w:style>
  <w:style w:type="character" w:styleId="Hyperlink">
    <w:name w:val="Hyperlink"/>
    <w:uiPriority w:val="99"/>
    <w:unhideWhenUsed/>
    <w:rsid w:val="00b819c8"/>
    <w:rPr>
      <w:color w:val="0000FF"/>
      <w:u w:val="single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Znakiprzypiswkocowychuser">
    <w:name w:val="Znaki przypisów końcowych (user)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TekstpodstawowyZnak"/>
    <w:uiPriority w:val="99"/>
    <w:semiHidden/>
    <w:unhideWhenUsed/>
    <w:rsid w:val="0085747a"/>
    <w:pPr>
      <w:spacing w:before="0" w:after="12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bd66e9"/>
    <w:pPr>
      <w:spacing w:before="0" w:after="200"/>
      <w:ind w:start="720"/>
      <w:contextualSpacing/>
    </w:pPr>
    <w:rPr/>
  </w:style>
  <w:style w:type="paragraph" w:styleId="Title">
    <w:name w:val="Title"/>
    <w:basedOn w:val="Normal"/>
    <w:link w:val="TytuZnak"/>
    <w:qFormat/>
    <w:rsid w:val="00bd66e9"/>
    <w:pPr>
      <w:spacing w:lineRule="auto" w:line="240" w:before="0" w:after="0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cf78ed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c16abf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c16abf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Default" w:customStyle="1">
    <w:name w:val="Default"/>
    <w:qFormat/>
    <w:rsid w:val="0085747a"/>
    <w:pPr>
      <w:widowControl/>
      <w:suppressAutoHyphens w:val="true"/>
      <w:bidi w:val="0"/>
      <w:spacing w:before="0" w:after="0"/>
      <w:jc w:val="start"/>
    </w:pPr>
    <w:rPr>
      <w:rFonts w:ascii="Arial" w:hAnsi="Arial" w:eastAsia="Calibri" w:cs="Arial"/>
      <w:color w:val="000000"/>
      <w:kern w:val="0"/>
      <w:sz w:val="24"/>
      <w:szCs w:val="24"/>
      <w:lang w:val="pl-PL" w:eastAsia="en-US" w:bidi="ar-SA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85747a"/>
    <w:pPr>
      <w:spacing w:lineRule="auto" w:line="240" w:before="0" w:after="0"/>
    </w:pPr>
    <w:rPr>
      <w:sz w:val="20"/>
      <w:szCs w:val="20"/>
    </w:rPr>
  </w:style>
  <w:style w:type="paragraph" w:styleId="Punktygwne" w:customStyle="1">
    <w:name w:val="Punkty główne"/>
    <w:basedOn w:val="Normal"/>
    <w:qFormat/>
    <w:rsid w:val="0085747a"/>
    <w:pPr>
      <w:spacing w:lineRule="auto" w:line="240" w:before="240" w:after="60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BodyText"/>
    <w:qFormat/>
    <w:rsid w:val="0085747a"/>
    <w:pPr>
      <w:tabs>
        <w:tab w:val="clear" w:pos="708"/>
        <w:tab w:val="left" w:pos="-5643" w:leader="none"/>
      </w:tabs>
      <w:overflowPunct w:val="false"/>
      <w:spacing w:lineRule="auto" w:line="240" w:before="40" w:after="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"/>
    <w:qFormat/>
    <w:rsid w:val="0085747a"/>
    <w:pPr>
      <w:spacing w:lineRule="auto" w:line="240" w:before="40" w:after="40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BodyText"/>
    <w:qFormat/>
    <w:rsid w:val="0085747a"/>
    <w:pPr>
      <w:tabs>
        <w:tab w:val="clear" w:pos="708"/>
        <w:tab w:val="left" w:pos="-5814" w:leader="none"/>
      </w:tabs>
      <w:overflowPunct w:val="false"/>
      <w:spacing w:lineRule="auto" w:line="240" w:before="0" w:after="0"/>
      <w:ind w:star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BodyText"/>
    <w:qFormat/>
    <w:rsid w:val="0085747a"/>
    <w:pPr>
      <w:tabs>
        <w:tab w:val="clear" w:pos="708"/>
        <w:tab w:val="left" w:pos="-5814" w:leader="none"/>
        <w:tab w:val="left" w:pos="720" w:leader="none"/>
      </w:tabs>
      <w:overflowPunct w:val="false"/>
      <w:spacing w:lineRule="auto" w:line="240" w:before="120" w:after="0"/>
      <w:ind w:hanging="540" w:start="90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BodyText"/>
    <w:uiPriority w:val="99"/>
    <w:qFormat/>
    <w:rsid w:val="0085747a"/>
    <w:pPr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"/>
    <w:qFormat/>
    <w:rsid w:val="0085747a"/>
    <w:pPr>
      <w:tabs>
        <w:tab w:val="clear" w:pos="708"/>
        <w:tab w:val="left" w:pos="-5814" w:leader="none"/>
      </w:tabs>
      <w:overflowPunct w:val="false"/>
      <w:spacing w:lineRule="auto" w:line="240" w:before="40" w:after="40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oSpacing">
    <w:name w:val="No Spacing"/>
    <w:uiPriority w:val="1"/>
    <w:qFormat/>
    <w:rsid w:val="00c61dc5"/>
    <w:pPr>
      <w:widowControl/>
      <w:suppressAutoHyphens w:val="true"/>
      <w:bidi w:val="0"/>
      <w:spacing w:before="0" w:after="0"/>
      <w:jc w:val="start"/>
    </w:pPr>
    <w:rPr>
      <w:rFonts w:ascii="Calibri" w:hAnsi="Calibri" w:eastAsia="Calibri" w:cs="Times New Roman"/>
      <w:color w:val="auto"/>
      <w:kern w:val="0"/>
      <w:sz w:val="22"/>
      <w:szCs w:val="22"/>
      <w:lang w:val="pl-PL" w:eastAsia="en-US" w:bidi="ar-SA"/>
    </w:rPr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paragraph" w:styleId="Nagwektabeliuser">
    <w:name w:val="Nagłówek tabeli (user)"/>
    <w:basedOn w:val="Zawartotabeliuser"/>
    <w:qFormat/>
    <w:pPr>
      <w:suppressLineNumbers/>
      <w:jc w:val="center"/>
    </w:pPr>
    <w:rPr>
      <w:b/>
      <w:bCs/>
    </w:rPr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start"/>
      <w:textAlignment w:val="baseline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customXml" Target="../customXml/item2.xml"/><Relationship Id="rId9" Type="http://schemas.openxmlformats.org/officeDocument/2006/relationships/customXml" Target="../customXml/item3.xml"/><Relationship Id="rId10" Type="http://schemas.openxmlformats.org/officeDocument/2006/relationships/customXml" Target="../customXml/item4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72C3F2-69FD-4E3C-B80E-B5FF8D5C0678}"/>
</file>

<file path=customXml/itemProps2.xml><?xml version="1.0" encoding="utf-8"?>
<ds:datastoreItem xmlns:ds="http://schemas.openxmlformats.org/officeDocument/2006/customXml" ds:itemID="{0695A2CC-3D97-47D4-9CD3-59E5A3B7CB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B0E0C56-33BE-493D-80D5-E95A361B552E}"/>
</file>

<file path=customXml/itemProps4.xml><?xml version="1.0" encoding="utf-8"?>
<ds:datastoreItem xmlns:ds="http://schemas.openxmlformats.org/officeDocument/2006/customXml" ds:itemID="{CF3BBDD1-C286-4E12-8CF3-16EDD418D00E}"/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115</TotalTime>
  <Application>LibreOffice/25.8.3.2$Windows_x86 LibreOffice_project/8ca8d55c161d602844f5428fa4b58097424e324e</Application>
  <AppVersion>15.0000</AppVersion>
  <Pages>6</Pages>
  <Words>1626</Words>
  <Characters>11460</Characters>
  <CharactersWithSpaces>12963</CharactersWithSpaces>
  <Paragraphs>263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2019-11-28T13:28:00Z</dcterms:created>
  <dc:creator>User</dc:creator>
  <dc:description/>
  <dc:language>pl-PL</dc:language>
  <cp:lastModifiedBy/>
  <cp:lastPrinted>2020-02-08T08:36:00Z</cp:lastPrinted>
  <dcterms:modified xsi:type="dcterms:W3CDTF">2026-03-11T14:29:48Z</dcterms:modified>
  <cp:revision>34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